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F227A" w14:textId="77777777" w:rsidR="00A45E86" w:rsidRDefault="00A45E86" w:rsidP="00A45E86">
      <w:pPr>
        <w:jc w:val="center"/>
      </w:pPr>
      <w:bookmarkStart w:id="0" w:name="_GoBack"/>
      <w:bookmarkEnd w:id="0"/>
    </w:p>
    <w:p w14:paraId="2DC05565" w14:textId="77777777" w:rsidR="00A45E86" w:rsidRDefault="00A45E86" w:rsidP="00A45E86">
      <w:pPr>
        <w:jc w:val="center"/>
      </w:pPr>
    </w:p>
    <w:p w14:paraId="6CE590B6" w14:textId="77777777" w:rsidR="00A45E86" w:rsidRDefault="00A45E86" w:rsidP="00A45E86">
      <w:pPr>
        <w:jc w:val="center"/>
      </w:pPr>
    </w:p>
    <w:p w14:paraId="5D004CE1" w14:textId="77777777" w:rsidR="00A45E86" w:rsidRDefault="00A45E86" w:rsidP="00A45E86">
      <w:pPr>
        <w:jc w:val="center"/>
      </w:pPr>
    </w:p>
    <w:p w14:paraId="57F960C5" w14:textId="77777777" w:rsidR="00A45E86" w:rsidRDefault="00A45E86" w:rsidP="00A45E86">
      <w:pPr>
        <w:jc w:val="center"/>
      </w:pPr>
    </w:p>
    <w:p w14:paraId="142FF478" w14:textId="77777777" w:rsidR="00A45E86" w:rsidRDefault="00A45E86" w:rsidP="00A45E86">
      <w:pPr>
        <w:jc w:val="center"/>
      </w:pPr>
    </w:p>
    <w:p w14:paraId="5426FB1A" w14:textId="77777777" w:rsidR="00A45E86" w:rsidRDefault="00A45E86" w:rsidP="00A45E86">
      <w:pPr>
        <w:jc w:val="center"/>
      </w:pPr>
    </w:p>
    <w:p w14:paraId="0B997662" w14:textId="77777777" w:rsidR="00A45E86" w:rsidRDefault="00A45E86" w:rsidP="00A45E86">
      <w:pPr>
        <w:jc w:val="center"/>
      </w:pPr>
    </w:p>
    <w:p w14:paraId="79194DDD" w14:textId="77777777" w:rsidR="00A45E86" w:rsidRDefault="00A45E86" w:rsidP="00A45E86">
      <w:pPr>
        <w:jc w:val="center"/>
      </w:pPr>
    </w:p>
    <w:p w14:paraId="054AD35B" w14:textId="77777777" w:rsidR="00A45E86" w:rsidRDefault="00A45E86" w:rsidP="00A45E86">
      <w:pPr>
        <w:jc w:val="center"/>
      </w:pPr>
    </w:p>
    <w:p w14:paraId="2F451F36" w14:textId="77777777" w:rsidR="00A45E86" w:rsidRDefault="00A45E86" w:rsidP="00A45E86">
      <w:pPr>
        <w:jc w:val="center"/>
      </w:pPr>
    </w:p>
    <w:p w14:paraId="4FA60C58" w14:textId="77777777" w:rsidR="00A45E86" w:rsidRDefault="00A45E86" w:rsidP="00A45E86">
      <w:pPr>
        <w:jc w:val="center"/>
      </w:pPr>
    </w:p>
    <w:p w14:paraId="6723D17F" w14:textId="77777777" w:rsidR="00A45E86" w:rsidRDefault="00A45E86" w:rsidP="00A45E86">
      <w:pPr>
        <w:jc w:val="center"/>
      </w:pPr>
    </w:p>
    <w:p w14:paraId="3D667DD7" w14:textId="303472C6" w:rsidR="00FF68DA" w:rsidRDefault="00A4228F" w:rsidP="00A45E86">
      <w:pPr>
        <w:jc w:val="center"/>
      </w:pPr>
      <w:r w:rsidRPr="0017665D">
        <w:t xml:space="preserve">Mcclesky Versus </w:t>
      </w:r>
      <w:r w:rsidR="0017665D" w:rsidRPr="0017665D">
        <w:t>Kemp</w:t>
      </w:r>
      <w:r w:rsidR="00A1711F">
        <w:t xml:space="preserve"> </w:t>
      </w:r>
      <w:r>
        <w:t xml:space="preserve">Case Analysis </w:t>
      </w:r>
    </w:p>
    <w:p w14:paraId="38B356B1" w14:textId="402449A0" w:rsidR="00A45E86" w:rsidRDefault="00A4228F" w:rsidP="00A45E86">
      <w:pPr>
        <w:jc w:val="center"/>
      </w:pPr>
      <w:r>
        <w:t>Name</w:t>
      </w:r>
    </w:p>
    <w:p w14:paraId="282BB7D1" w14:textId="6428DE7C" w:rsidR="00A45E86" w:rsidRDefault="00A4228F" w:rsidP="00A45E86">
      <w:pPr>
        <w:jc w:val="center"/>
      </w:pPr>
      <w:r>
        <w:t>Institution</w:t>
      </w:r>
    </w:p>
    <w:p w14:paraId="0EEC23BA" w14:textId="14234088" w:rsidR="00A45E86" w:rsidRDefault="00A45E86" w:rsidP="00A45E86">
      <w:pPr>
        <w:jc w:val="center"/>
      </w:pPr>
    </w:p>
    <w:p w14:paraId="276F7075" w14:textId="793A042E" w:rsidR="00A45E86" w:rsidRDefault="00A45E86" w:rsidP="00A45E86">
      <w:pPr>
        <w:jc w:val="center"/>
      </w:pPr>
    </w:p>
    <w:p w14:paraId="41BF4415" w14:textId="61A3BEB5" w:rsidR="00A45E86" w:rsidRDefault="00A45E86" w:rsidP="00A45E86">
      <w:pPr>
        <w:jc w:val="center"/>
      </w:pPr>
    </w:p>
    <w:p w14:paraId="61D800DD" w14:textId="36A619B1" w:rsidR="00A45E86" w:rsidRDefault="00A45E86" w:rsidP="00A45E86">
      <w:pPr>
        <w:jc w:val="center"/>
      </w:pPr>
    </w:p>
    <w:p w14:paraId="1D347B5C" w14:textId="016D4D05" w:rsidR="00A45E86" w:rsidRDefault="00A45E86" w:rsidP="00A45E86">
      <w:pPr>
        <w:jc w:val="center"/>
      </w:pPr>
    </w:p>
    <w:p w14:paraId="59306F10" w14:textId="3221A623" w:rsidR="00A45E86" w:rsidRDefault="00A45E86" w:rsidP="00A45E86">
      <w:pPr>
        <w:jc w:val="center"/>
      </w:pPr>
    </w:p>
    <w:p w14:paraId="4FEF4C2E" w14:textId="2A4A54C8" w:rsidR="00A45E86" w:rsidRDefault="00A45E86" w:rsidP="00A45E86">
      <w:pPr>
        <w:jc w:val="center"/>
      </w:pPr>
    </w:p>
    <w:p w14:paraId="00A34EDB" w14:textId="1414E501" w:rsidR="00A45E86" w:rsidRDefault="00A45E86" w:rsidP="00A45E86">
      <w:pPr>
        <w:jc w:val="center"/>
      </w:pPr>
    </w:p>
    <w:p w14:paraId="00A208BF" w14:textId="63363AE6" w:rsidR="00A45E86" w:rsidRDefault="00A45E86" w:rsidP="00A45E86">
      <w:pPr>
        <w:jc w:val="center"/>
      </w:pPr>
    </w:p>
    <w:p w14:paraId="327E71E5" w14:textId="37E42DD7" w:rsidR="00A45E86" w:rsidRDefault="00A45E86" w:rsidP="00A45E86">
      <w:pPr>
        <w:jc w:val="center"/>
      </w:pPr>
    </w:p>
    <w:p w14:paraId="47BF6E2B" w14:textId="15F23207" w:rsidR="00A45E86" w:rsidRDefault="00A45E86" w:rsidP="00A45E86">
      <w:pPr>
        <w:jc w:val="center"/>
      </w:pPr>
    </w:p>
    <w:p w14:paraId="0775F82F" w14:textId="77777777" w:rsidR="00A45E86" w:rsidRDefault="00A45E86" w:rsidP="00A45E86">
      <w:pPr>
        <w:jc w:val="center"/>
      </w:pPr>
    </w:p>
    <w:p w14:paraId="141986EA" w14:textId="77777777" w:rsidR="00A45E86" w:rsidRPr="00A45E86" w:rsidRDefault="00A4228F" w:rsidP="00A45E86">
      <w:pPr>
        <w:spacing w:line="480" w:lineRule="auto"/>
        <w:ind w:firstLine="720"/>
      </w:pPr>
      <w:r w:rsidRPr="00A45E86">
        <w:lastRenderedPageBreak/>
        <w:t xml:space="preserve">Mcclesky Versus Kemp Case Analysis </w:t>
      </w:r>
    </w:p>
    <w:p w14:paraId="52BA9799" w14:textId="53BEDB0B" w:rsidR="0017665D" w:rsidRDefault="00A4228F" w:rsidP="00A45E86">
      <w:pPr>
        <w:spacing w:line="480" w:lineRule="auto"/>
        <w:ind w:firstLine="720"/>
      </w:pPr>
      <w:r>
        <w:t xml:space="preserve">The McCleskey vs. Kemp is a landmark United States supreme court which provided a fundamental </w:t>
      </w:r>
      <w:r w:rsidR="00A1711F">
        <w:t>understanding</w:t>
      </w:r>
      <w:r>
        <w:t xml:space="preserve"> of sentencing and prosecution. The criminal justice system has had significant issues primarily related to racial profiling in arrest, trial, and conviction of </w:t>
      </w:r>
      <w:r w:rsidR="00A1711F">
        <w:t>individuals</w:t>
      </w:r>
      <w:r>
        <w:t xml:space="preserve"> with a substantial emphasis on the fact that majority of blacks are convicted and </w:t>
      </w:r>
      <w:r w:rsidR="00A1711F">
        <w:t>sentenced</w:t>
      </w:r>
      <w:r>
        <w:t xml:space="preserve"> for murder. McClesky, an African America man, was sentenced for robbery and murdering a police officer in Georgia and was sentenced to death. </w:t>
      </w:r>
      <w:r w:rsidR="00A1711F">
        <w:t>However,</w:t>
      </w:r>
      <w:r>
        <w:t xml:space="preserve"> he appealed the decision by a writ habeas corpus where he argued that a statistical study proved beyond doubt that the imposition of the death penalty in Georgia dependent to a greater extent on the race of the victim and the accused. He argued that his eight and fourteenth amendment rights as protected by the law had </w:t>
      </w:r>
      <w:r w:rsidRPr="00222741">
        <w:rPr>
          <w:noProof/>
        </w:rPr>
        <w:t>been violated</w:t>
      </w:r>
      <w:r>
        <w:t xml:space="preserve"> because he was black</w:t>
      </w:r>
      <w:r w:rsidR="00A45E86">
        <w:t xml:space="preserve"> (</w:t>
      </w:r>
      <w:r w:rsidR="00A45E86" w:rsidRPr="00A45E86">
        <w:t>McCleskey v. Kemp</w:t>
      </w:r>
      <w:r w:rsidR="00A45E86">
        <w:t xml:space="preserve">, </w:t>
      </w:r>
      <w:r w:rsidR="00A45E86" w:rsidRPr="00A45E86">
        <w:t>n.d.).</w:t>
      </w:r>
    </w:p>
    <w:p w14:paraId="0E897BEB" w14:textId="10CDA8DB" w:rsidR="0017665D" w:rsidRDefault="00A4228F" w:rsidP="00A45E86">
      <w:pPr>
        <w:spacing w:line="480" w:lineRule="auto"/>
        <w:ind w:firstLine="720"/>
      </w:pPr>
      <w:r>
        <w:t xml:space="preserve">Thus, the main issue in the case that was </w:t>
      </w:r>
      <w:r w:rsidRPr="00222741">
        <w:rPr>
          <w:noProof/>
        </w:rPr>
        <w:t>being argued</w:t>
      </w:r>
      <w:r>
        <w:t xml:space="preserve"> was whether the statistical study did prove that McCleskey's sentence had violated his eighth and fourteenth amendment. The eighth </w:t>
      </w:r>
      <w:r w:rsidR="00F14B63">
        <w:t xml:space="preserve">amendment protects </w:t>
      </w:r>
      <w:r>
        <w:t>individuals from</w:t>
      </w:r>
      <w:r w:rsidR="00F14B63">
        <w:t xml:space="preserve"> excessive fines, bail as well as imposing cruel and unusual punishments. The due process clause in the fourteenth </w:t>
      </w:r>
      <w:r>
        <w:t>amendment</w:t>
      </w:r>
      <w:r w:rsidR="00F14B63">
        <w:t xml:space="preserve"> highlights that states may not deny or restrict an individual's right to life, liberty, and property without the due process as stipulated in the law. </w:t>
      </w:r>
    </w:p>
    <w:p w14:paraId="452F5ADE" w14:textId="06C65DE3" w:rsidR="00F14B63" w:rsidRDefault="00A4228F" w:rsidP="00A45E86">
      <w:pPr>
        <w:spacing w:line="480" w:lineRule="auto"/>
        <w:ind w:firstLine="720"/>
      </w:pPr>
      <w:r>
        <w:t xml:space="preserve">The supreme court of the united states ruled that  McCleskey's eighth and fourteenth amendments were not violated since he could not prove that the purposeful discrimination as identified in the study has also been established in the case and </w:t>
      </w:r>
      <w:r w:rsidR="00A1711F">
        <w:t>influenced</w:t>
      </w:r>
      <w:r>
        <w:t xml:space="preserve"> the trial process and the </w:t>
      </w:r>
      <w:r w:rsidR="00A1711F">
        <w:t>ruling</w:t>
      </w:r>
      <w:r>
        <w:t xml:space="preserve">. Justice Powell refused to integrate statistical survey considering the circumstances and the nature of the decisions facing all juries in capital cases. Justice Powell argued that the </w:t>
      </w:r>
      <w:r>
        <w:lastRenderedPageBreak/>
        <w:t>data and evidence that McCleskey was presenting was best presented to legislative bodies and not in a court of law.</w:t>
      </w:r>
    </w:p>
    <w:p w14:paraId="75D3589A" w14:textId="14DDBADC" w:rsidR="00F14B63" w:rsidRDefault="00A4228F" w:rsidP="00A45E86">
      <w:pPr>
        <w:spacing w:line="480" w:lineRule="auto"/>
        <w:ind w:firstLine="720"/>
      </w:pPr>
      <w:r w:rsidRPr="00F14B63">
        <w:t>The Court held that since McCleskey could not prove that purposeful discrimination which had a discriminatory effect on him existed in this particular trial, there was no constitutional violation. Justice Powell refused to apply the statistical study in this case given the unique circumstances and nature of decisions that face all juries in capital cases. He argued that the data McCleskey produced is best presented to legislative bodies and not to the courts</w:t>
      </w:r>
      <w:r w:rsidR="00A45E86">
        <w:t xml:space="preserve"> (</w:t>
      </w:r>
      <w:r w:rsidR="00A45E86" w:rsidRPr="00A45E86">
        <w:t>Boger, 2017).</w:t>
      </w:r>
    </w:p>
    <w:p w14:paraId="46E5D0F5" w14:textId="10513F85" w:rsidR="00E418B9" w:rsidRDefault="00A4228F" w:rsidP="00A45E86">
      <w:pPr>
        <w:spacing w:line="480" w:lineRule="auto"/>
        <w:ind w:firstLine="720"/>
      </w:pPr>
      <w:r>
        <w:t xml:space="preserve">The Supreme court previously has shown willingness in integrating statistical evidence in cases although the Supreme court majority decision argued that the decision was made by a different jury which focused on the evidence provided and the </w:t>
      </w:r>
      <w:r w:rsidR="00A1711F">
        <w:t>provisions</w:t>
      </w:r>
      <w:r>
        <w:t xml:space="preserve"> of the law that had </w:t>
      </w:r>
      <w:r w:rsidRPr="00222741">
        <w:rPr>
          <w:noProof/>
          <w:u w:val="thick" w:color="28B473"/>
        </w:rPr>
        <w:t>been outlined</w:t>
      </w:r>
      <w:r>
        <w:t xml:space="preserve">. The Supreme court further asserted that the state had no practical opportunity to rebut the Baldus study which McCleskey was relying on in making his argument. </w:t>
      </w:r>
    </w:p>
    <w:p w14:paraId="12500A7B" w14:textId="2AF44BA3" w:rsidR="00E418B9" w:rsidRDefault="00A4228F" w:rsidP="00A45E86">
      <w:pPr>
        <w:spacing w:line="480" w:lineRule="auto"/>
        <w:ind w:firstLine="720"/>
      </w:pPr>
      <w:r>
        <w:t>The significance of the ruling</w:t>
      </w:r>
    </w:p>
    <w:p w14:paraId="79067B1C" w14:textId="5D8B8B71" w:rsidR="00E418B9" w:rsidRDefault="00A4228F" w:rsidP="00A45E86">
      <w:pPr>
        <w:spacing w:line="480" w:lineRule="auto"/>
        <w:ind w:firstLine="720"/>
      </w:pPr>
      <w:r>
        <w:t xml:space="preserve">The decision by the </w:t>
      </w:r>
      <w:r w:rsidR="00A1711F">
        <w:t>Supreme</w:t>
      </w:r>
      <w:r>
        <w:t xml:space="preserve"> Court provide a critical focus on the admissibility of evidence in court especially considering </w:t>
      </w:r>
      <w:r w:rsidR="00A1711F">
        <w:t>the type</w:t>
      </w:r>
      <w:r>
        <w:t xml:space="preserve"> of case and the influence of the evidence that is </w:t>
      </w:r>
      <w:r w:rsidRPr="00222741">
        <w:rPr>
          <w:noProof/>
          <w:u w:val="thick" w:color="28B473"/>
        </w:rPr>
        <w:t>being presented</w:t>
      </w:r>
      <w:r>
        <w:t xml:space="preserve">. The </w:t>
      </w:r>
      <w:r w:rsidR="00A1711F">
        <w:t>Supreme court</w:t>
      </w:r>
      <w:r>
        <w:t xml:space="preserve"> denied that the decision to sentence McCleskey was an </w:t>
      </w:r>
      <w:r w:rsidR="00A1711F">
        <w:t>independent decision</w:t>
      </w:r>
      <w:r>
        <w:t xml:space="preserve"> that was </w:t>
      </w:r>
      <w:r w:rsidR="00A1711F">
        <w:t>reached</w:t>
      </w:r>
      <w:r>
        <w:t xml:space="preserve"> by a highly competent jury and there was no specific information or finding which indicated that there was some form of discrimination</w:t>
      </w:r>
      <w:r w:rsidR="00A45E86">
        <w:t xml:space="preserve"> (</w:t>
      </w:r>
      <w:r w:rsidR="00A45E86" w:rsidRPr="00A45E86">
        <w:t>Siegel,</w:t>
      </w:r>
      <w:r w:rsidR="00A45E86">
        <w:t xml:space="preserve"> </w:t>
      </w:r>
      <w:r w:rsidR="00A45E86" w:rsidRPr="00A45E86">
        <w:t>2017).</w:t>
      </w:r>
    </w:p>
    <w:p w14:paraId="54E59101" w14:textId="47F4F79D" w:rsidR="00E418B9" w:rsidRDefault="00A4228F" w:rsidP="00A45E86">
      <w:pPr>
        <w:spacing w:line="480" w:lineRule="auto"/>
        <w:ind w:firstLine="720"/>
      </w:pPr>
      <w:r>
        <w:t xml:space="preserve">According to Mauer, the decision made by the Supreme court fails to </w:t>
      </w:r>
      <w:r w:rsidR="00A1711F">
        <w:t>acknowledge</w:t>
      </w:r>
      <w:r>
        <w:t xml:space="preserve"> the real issues within the society with a critical understanding of essential elements that define the </w:t>
      </w:r>
      <w:r>
        <w:lastRenderedPageBreak/>
        <w:t>problems existing within the criminal justice system. The study by Baldus clearly shows a trend of racial pro</w:t>
      </w:r>
      <w:r w:rsidR="00A1711F">
        <w:t>fi</w:t>
      </w:r>
      <w:r>
        <w:t>ling against blacks which exist within the criminal justice, but the supreme court fails to consider and make an appropriate determination that would have created new dawn in criminal justice and approach to the delivery of equal justice to all</w:t>
      </w:r>
      <w:r w:rsidR="00A45E86">
        <w:t xml:space="preserve"> </w:t>
      </w:r>
      <w:r w:rsidR="00A45E86" w:rsidRPr="00A45E86">
        <w:t>(Mauer, 2006).</w:t>
      </w:r>
    </w:p>
    <w:p w14:paraId="5FFB9E10" w14:textId="22C4C442" w:rsidR="00E418B9" w:rsidRDefault="00A4228F" w:rsidP="00A45E86">
      <w:pPr>
        <w:spacing w:line="480" w:lineRule="auto"/>
        <w:ind w:firstLine="720"/>
      </w:pPr>
      <w:r>
        <w:t xml:space="preserve">The death penalty is a cruel and unusual punishment which is limited especially considering a critical focus on the circumstances as well as the information which was integrated into the trial. The </w:t>
      </w:r>
      <w:r w:rsidR="00A1711F">
        <w:t>disparities</w:t>
      </w:r>
      <w:r>
        <w:t xml:space="preserve"> between </w:t>
      </w:r>
      <w:r w:rsidR="00A1711F">
        <w:t>blacks</w:t>
      </w:r>
      <w:r>
        <w:t xml:space="preserve"> and white in the application of la is very and help define critical elements which are essential in determining a greater emphasis on positive engagement. Mauer highlight that the</w:t>
      </w:r>
      <w:r w:rsidR="00A1711F">
        <w:t>re is a high probability of finding a black incarcerated while white set free on a similar offense. The lifetime likelihood of imprisonment for males born in 2001 is approximately 32% and 6% for whites. This information is obtained from the available information which provides a unique understanding of critical concepts which help define essential elements which define the criminal justice and unjust application of the law</w:t>
      </w:r>
      <w:r w:rsidR="00A45E86">
        <w:t xml:space="preserve"> (</w:t>
      </w:r>
      <w:r w:rsidR="00A45E86" w:rsidRPr="00A45E86">
        <w:t>Mauer, 2006).</w:t>
      </w:r>
    </w:p>
    <w:p w14:paraId="2CFC571B" w14:textId="2923F384" w:rsidR="00A1711F" w:rsidRDefault="00A4228F" w:rsidP="00A45E86">
      <w:pPr>
        <w:spacing w:line="480" w:lineRule="auto"/>
        <w:ind w:firstLine="720"/>
      </w:pPr>
      <w:r>
        <w:t>The existing stereotypes provide a critical influence on the attitude of officers and the entire criminal justice system considering that blacks are associated with violent behavior and are more likely to become suspects in murder case or robbery. The approach to law has changed, but the law is still limited especially taking into consideration key concepts which define a greater understanding of the application of the law. The decision by the Supreme thus limits the focus on the use of the law in racial profiling cases</w:t>
      </w:r>
      <w:r w:rsidR="00A45E86">
        <w:t xml:space="preserve"> (</w:t>
      </w:r>
      <w:r w:rsidR="00A45E86" w:rsidRPr="00A45E86">
        <w:t>(Boger, 2017).</w:t>
      </w:r>
    </w:p>
    <w:p w14:paraId="3A937CAF" w14:textId="6B69ACAE" w:rsidR="00E418B9" w:rsidRDefault="00E418B9"/>
    <w:p w14:paraId="501288E5" w14:textId="1EF75C32" w:rsidR="00A45E86" w:rsidRDefault="00A45E86"/>
    <w:p w14:paraId="1298AA28" w14:textId="05C478A8" w:rsidR="00A45E86" w:rsidRDefault="00A45E86"/>
    <w:p w14:paraId="5D557A61" w14:textId="3344C1AB" w:rsidR="00A45E86" w:rsidRDefault="00A45E86"/>
    <w:p w14:paraId="00706C9E" w14:textId="2C97FB36" w:rsidR="00A45E86" w:rsidRDefault="00A4228F" w:rsidP="00A45E86">
      <w:pPr>
        <w:jc w:val="center"/>
      </w:pPr>
      <w:r>
        <w:t>References</w:t>
      </w:r>
    </w:p>
    <w:p w14:paraId="66509CDD" w14:textId="77777777" w:rsidR="00A45E86" w:rsidRPr="00A45E86" w:rsidRDefault="00A4228F" w:rsidP="00A45E86">
      <w:pPr>
        <w:spacing w:line="480" w:lineRule="auto"/>
        <w:ind w:left="720" w:hanging="720"/>
      </w:pPr>
      <w:r w:rsidRPr="00A45E86">
        <w:t xml:space="preserve">Boger, J. C. (2017). McCleskey v. Kemp: Field Notes from 1977-1991. </w:t>
      </w:r>
      <w:r w:rsidRPr="00A45E86">
        <w:rPr>
          <w:i/>
          <w:iCs/>
        </w:rPr>
        <w:t>Nw. UL Rev.</w:t>
      </w:r>
      <w:r w:rsidRPr="00A45E86">
        <w:t xml:space="preserve">, </w:t>
      </w:r>
      <w:r w:rsidRPr="00A45E86">
        <w:rPr>
          <w:i/>
          <w:iCs/>
        </w:rPr>
        <w:t>112</w:t>
      </w:r>
      <w:r w:rsidRPr="00A45E86">
        <w:t>, 1637.</w:t>
      </w:r>
    </w:p>
    <w:p w14:paraId="3D9EBC1A" w14:textId="77777777" w:rsidR="00A45E86" w:rsidRPr="00A45E86" w:rsidRDefault="00A4228F" w:rsidP="00A45E86">
      <w:pPr>
        <w:spacing w:line="480" w:lineRule="auto"/>
        <w:ind w:left="720" w:hanging="720"/>
      </w:pPr>
      <w:r w:rsidRPr="00A45E86">
        <w:t xml:space="preserve">Mauer, M. (2006). </w:t>
      </w:r>
      <w:r w:rsidRPr="00A45E86">
        <w:rPr>
          <w:i/>
          <w:iCs/>
        </w:rPr>
        <w:t>Race to Incarcerate</w:t>
      </w:r>
      <w:r w:rsidRPr="00A45E86">
        <w:t>. New Press, The.</w:t>
      </w:r>
    </w:p>
    <w:p w14:paraId="0DA307EA" w14:textId="77777777" w:rsidR="00A45E86" w:rsidRDefault="00A4228F" w:rsidP="00A45E86">
      <w:pPr>
        <w:spacing w:line="480" w:lineRule="auto"/>
        <w:ind w:left="720" w:hanging="720"/>
      </w:pPr>
      <w:r w:rsidRPr="00A45E86">
        <w:t xml:space="preserve">McCleskey v. Kemp. (n.d.). </w:t>
      </w:r>
      <w:r w:rsidRPr="00A45E86">
        <w:rPr>
          <w:i/>
          <w:iCs/>
        </w:rPr>
        <w:t>Oyez</w:t>
      </w:r>
      <w:r w:rsidRPr="00A45E86">
        <w:t>. Retrieved October 28, 2018, from https://www.oyez.org/cases/1986/84-6811</w:t>
      </w:r>
    </w:p>
    <w:p w14:paraId="42736703" w14:textId="77777777" w:rsidR="00A45E86" w:rsidRPr="00A45E86" w:rsidRDefault="00A4228F" w:rsidP="00A45E86">
      <w:pPr>
        <w:spacing w:line="480" w:lineRule="auto"/>
        <w:ind w:left="720" w:hanging="720"/>
      </w:pPr>
      <w:r w:rsidRPr="00A45E86">
        <w:t xml:space="preserve">Siegel, R. B. (2017). Blind Justice: Why the Court Refused to Accept Statistical Evidence of Discriminatory Purpose in McCleskey v. Kemp-And Some Pathways for Charge. </w:t>
      </w:r>
      <w:r w:rsidRPr="00A45E86">
        <w:rPr>
          <w:i/>
          <w:iCs/>
        </w:rPr>
        <w:t>Nw. UL Rev.</w:t>
      </w:r>
      <w:r w:rsidRPr="00A45E86">
        <w:t xml:space="preserve">, </w:t>
      </w:r>
      <w:r w:rsidRPr="00A45E86">
        <w:rPr>
          <w:i/>
          <w:iCs/>
        </w:rPr>
        <w:t>112</w:t>
      </w:r>
      <w:r w:rsidRPr="00A45E86">
        <w:t>, 1269.</w:t>
      </w:r>
    </w:p>
    <w:p w14:paraId="2D3AD36E" w14:textId="77777777" w:rsidR="00A45E86" w:rsidRDefault="00A45E86"/>
    <w:sectPr w:rsidR="00A45E86" w:rsidSect="00A45E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43C720" w14:textId="77777777" w:rsidR="007612A6" w:rsidRDefault="007612A6">
      <w:pPr>
        <w:spacing w:after="0" w:line="240" w:lineRule="auto"/>
      </w:pPr>
      <w:r>
        <w:separator/>
      </w:r>
    </w:p>
  </w:endnote>
  <w:endnote w:type="continuationSeparator" w:id="0">
    <w:p w14:paraId="2D7DBC01" w14:textId="77777777" w:rsidR="007612A6" w:rsidRDefault="00761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E1407" w14:textId="77777777" w:rsidR="007612A6" w:rsidRDefault="007612A6">
      <w:pPr>
        <w:spacing w:after="0" w:line="240" w:lineRule="auto"/>
      </w:pPr>
      <w:r>
        <w:separator/>
      </w:r>
    </w:p>
  </w:footnote>
  <w:footnote w:type="continuationSeparator" w:id="0">
    <w:p w14:paraId="638B9171" w14:textId="77777777" w:rsidR="007612A6" w:rsidRDefault="00761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84CA30" w14:textId="39429B23" w:rsidR="00A45E86" w:rsidRDefault="00A4228F">
    <w:pPr>
      <w:pStyle w:val="Header"/>
      <w:jc w:val="right"/>
    </w:pPr>
    <w:r w:rsidRPr="00A45E86">
      <w:t xml:space="preserve">MCCLESKY VERSUS KEMP CASE ANALYSIS </w:t>
    </w:r>
    <w:r>
      <w:t xml:space="preserve">                                                                    </w:t>
    </w:r>
    <w:sdt>
      <w:sdtPr>
        <w:id w:val="-8026111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10FD664" w14:textId="77777777" w:rsidR="00A45E86" w:rsidRDefault="00A45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AB014" w14:textId="0E61901F" w:rsidR="00A45E86" w:rsidRDefault="00A4228F">
    <w:pPr>
      <w:pStyle w:val="Header"/>
      <w:jc w:val="right"/>
    </w:pPr>
    <w:r>
      <w:t xml:space="preserve">Running head: </w:t>
    </w:r>
    <w:r w:rsidRPr="00A45E86">
      <w:t xml:space="preserve">MCCLESKY VERSUS KEMP CASE </w:t>
    </w:r>
    <w:r>
      <w:t xml:space="preserve">ANALYSIS                                             </w:t>
    </w:r>
    <w:sdt>
      <w:sdtPr>
        <w:id w:val="6850239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20C97D3" w14:textId="77777777" w:rsidR="00A45E86" w:rsidRDefault="00A45E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UyNLU0NTc1NDcyMrRQ0lEKTi0uzszPAykwrAUARGE1/ywAAAA="/>
  </w:docVars>
  <w:rsids>
    <w:rsidRoot w:val="0017665D"/>
    <w:rsid w:val="0017665D"/>
    <w:rsid w:val="00222741"/>
    <w:rsid w:val="003D1028"/>
    <w:rsid w:val="007612A6"/>
    <w:rsid w:val="008F5988"/>
    <w:rsid w:val="00A1711F"/>
    <w:rsid w:val="00A4228F"/>
    <w:rsid w:val="00A45E86"/>
    <w:rsid w:val="00E418B9"/>
    <w:rsid w:val="00F14B63"/>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A33B7B-B386-4158-834A-F727C18A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E86"/>
  </w:style>
  <w:style w:type="paragraph" w:styleId="Footer">
    <w:name w:val="footer"/>
    <w:basedOn w:val="Normal"/>
    <w:link w:val="FooterChar"/>
    <w:uiPriority w:val="99"/>
    <w:unhideWhenUsed/>
    <w:rsid w:val="00A45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E86"/>
  </w:style>
  <w:style w:type="character" w:styleId="Hyperlink">
    <w:name w:val="Hyperlink"/>
    <w:basedOn w:val="DefaultParagraphFont"/>
    <w:uiPriority w:val="99"/>
    <w:unhideWhenUsed/>
    <w:rsid w:val="00A45E86"/>
    <w:rPr>
      <w:color w:val="0563C1" w:themeColor="hyperlink"/>
      <w:u w:val="single"/>
    </w:rPr>
  </w:style>
  <w:style w:type="character" w:customStyle="1" w:styleId="UnresolvedMention1">
    <w:name w:val="Unresolved Mention1"/>
    <w:basedOn w:val="DefaultParagraphFont"/>
    <w:uiPriority w:val="99"/>
    <w:semiHidden/>
    <w:unhideWhenUsed/>
    <w:rsid w:val="00A45E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2018-10-28T15:59:00Z</dcterms:created>
  <dcterms:modified xsi:type="dcterms:W3CDTF">2018-10-28T15:59:00Z</dcterms:modified>
</cp:coreProperties>
</file>